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6DEF" w14:textId="77777777" w:rsidR="00F25DFB" w:rsidRDefault="00F25DFB" w:rsidP="00F25DFB">
      <w:pPr>
        <w:pStyle w:val="NormalWeb"/>
      </w:pPr>
      <w:proofErr w:type="spellStart"/>
      <w:r>
        <w:rPr>
          <w:rFonts w:ascii="Helvetica" w:hAnsi="Helvetica"/>
          <w:color w:val="848484"/>
          <w:sz w:val="16"/>
          <w:szCs w:val="16"/>
        </w:rPr>
        <w:t>Wraga</w:t>
      </w:r>
      <w:proofErr w:type="spellEnd"/>
      <w:r>
        <w:rPr>
          <w:rFonts w:ascii="Helvetica" w:hAnsi="Helvetica"/>
          <w:color w:val="848484"/>
          <w:sz w:val="16"/>
          <w:szCs w:val="16"/>
        </w:rPr>
        <w:t xml:space="preserve">, W. G. (2017). Understanding the Tyler rationale: </w:t>
      </w:r>
      <w:r>
        <w:rPr>
          <w:rFonts w:ascii="Helvetica" w:hAnsi="Helvetica"/>
          <w:i/>
          <w:iCs/>
          <w:color w:val="848484"/>
          <w:sz w:val="16"/>
          <w:szCs w:val="16"/>
        </w:rPr>
        <w:t xml:space="preserve">Basic Principles of Curriculum and Instruction </w:t>
      </w:r>
      <w:r>
        <w:rPr>
          <w:rFonts w:ascii="Helvetica" w:hAnsi="Helvetica"/>
          <w:color w:val="848484"/>
          <w:sz w:val="16"/>
          <w:szCs w:val="16"/>
        </w:rPr>
        <w:t xml:space="preserve">in historical context. </w:t>
      </w:r>
      <w:proofErr w:type="spellStart"/>
      <w:r>
        <w:rPr>
          <w:rFonts w:ascii="Helvetica" w:hAnsi="Helvetica"/>
          <w:i/>
          <w:iCs/>
          <w:color w:val="848484"/>
          <w:sz w:val="16"/>
          <w:szCs w:val="16"/>
        </w:rPr>
        <w:t>Espacio</w:t>
      </w:r>
      <w:proofErr w:type="spellEnd"/>
      <w:r>
        <w:rPr>
          <w:rFonts w:ascii="Helvetica" w:hAnsi="Helvetica"/>
          <w:i/>
          <w:iCs/>
          <w:color w:val="848484"/>
          <w:sz w:val="16"/>
          <w:szCs w:val="16"/>
        </w:rPr>
        <w:t xml:space="preserve">, </w:t>
      </w:r>
      <w:proofErr w:type="spellStart"/>
      <w:r>
        <w:rPr>
          <w:rFonts w:ascii="Helvetica" w:hAnsi="Helvetica"/>
          <w:i/>
          <w:iCs/>
          <w:color w:val="848484"/>
          <w:sz w:val="16"/>
          <w:szCs w:val="16"/>
        </w:rPr>
        <w:t>Tiempo</w:t>
      </w:r>
      <w:proofErr w:type="spellEnd"/>
      <w:r>
        <w:rPr>
          <w:rFonts w:ascii="Helvetica" w:hAnsi="Helvetica"/>
          <w:i/>
          <w:iCs/>
          <w:color w:val="848484"/>
          <w:sz w:val="16"/>
          <w:szCs w:val="16"/>
        </w:rPr>
        <w:t xml:space="preserve"> y </w:t>
      </w:r>
      <w:proofErr w:type="spellStart"/>
      <w:r>
        <w:rPr>
          <w:rFonts w:ascii="Helvetica" w:hAnsi="Helvetica"/>
          <w:i/>
          <w:iCs/>
          <w:color w:val="848484"/>
          <w:sz w:val="16"/>
          <w:szCs w:val="16"/>
        </w:rPr>
        <w:t>Educación</w:t>
      </w:r>
      <w:proofErr w:type="spellEnd"/>
      <w:r>
        <w:rPr>
          <w:rFonts w:ascii="Helvetica" w:hAnsi="Helvetica"/>
          <w:color w:val="848484"/>
          <w:sz w:val="16"/>
          <w:szCs w:val="16"/>
        </w:rPr>
        <w:t xml:space="preserve">, 4(2), 227-252. </w:t>
      </w:r>
      <w:proofErr w:type="spellStart"/>
      <w:r>
        <w:rPr>
          <w:rFonts w:ascii="Helvetica" w:hAnsi="Helvetica"/>
          <w:color w:val="848484"/>
          <w:sz w:val="16"/>
          <w:szCs w:val="16"/>
        </w:rPr>
        <w:t>doi</w:t>
      </w:r>
      <w:proofErr w:type="spellEnd"/>
      <w:r>
        <w:rPr>
          <w:rFonts w:ascii="Helvetica" w:hAnsi="Helvetica"/>
          <w:color w:val="848484"/>
          <w:sz w:val="16"/>
          <w:szCs w:val="16"/>
        </w:rPr>
        <w:t xml:space="preserve">: http://dx.doi.org/10.14516/ete.156 </w:t>
      </w:r>
    </w:p>
    <w:p w14:paraId="784771FB" w14:textId="77777777" w:rsidR="00900FFE" w:rsidRDefault="00900FFE" w:rsidP="00900FFE">
      <w:pPr>
        <w:pStyle w:val="NormalWeb"/>
      </w:pPr>
      <w:r>
        <w:rPr>
          <w:rFonts w:ascii="Helvetica" w:hAnsi="Helvetica"/>
          <w:sz w:val="20"/>
          <w:szCs w:val="20"/>
        </w:rPr>
        <w:t>The Tyler rationale responded to definitive historical developments in US education during the first half of the twentieth c</w:t>
      </w:r>
      <w:bookmarkStart w:id="0" w:name="_GoBack"/>
      <w:bookmarkEnd w:id="0"/>
      <w:r>
        <w:rPr>
          <w:rFonts w:ascii="Helvetica" w:hAnsi="Helvetica"/>
          <w:sz w:val="20"/>
          <w:szCs w:val="20"/>
        </w:rPr>
        <w:t xml:space="preserve">entury, including the growth of school enrollment, the emergence of curriculum development as a specialized professional role, the development of educational assessment, and the expansion of teacher training. Tyler’s rationale emerged during the 1920s and 1930s from his field work with school teachers and university faculty, his efforts to clarify educational purposes, his development of test construction techniques, and his invention of educational evaluation as an alternative to educational measurement. Tyler designed the course Education 360 to engage his students in a process for developing curriculum and instruction for particular students in particular educational settings; the syllabus he prepared for his students was intended as a study guide. Understood in the historical context in which it was developed, Tyler’s rationale is notable for its embrace of three curriculum sources, its conception of education essentially as experience, its approach to assessment as evaluation rather than as measurement, its approach to curriculum development as a problem-solving process, and its commitment to teacher participation in the development of curriculum and instruction. This is to say that Tyler’s rationale is much more than the four questions he posed. </w:t>
      </w:r>
    </w:p>
    <w:p w14:paraId="5658FF4C" w14:textId="33A55722" w:rsidR="00060AA2" w:rsidRPr="00060AA2" w:rsidRDefault="00060AA2" w:rsidP="00060AA2">
      <w:pPr>
        <w:spacing w:before="100" w:beforeAutospacing="1" w:after="100" w:afterAutospacing="1"/>
        <w:rPr>
          <w:rFonts w:ascii="Times New Roman" w:eastAsia="Times New Roman" w:hAnsi="Times New Roman" w:cs="Times New Roman"/>
        </w:rPr>
      </w:pPr>
      <w:r w:rsidRPr="00060AA2">
        <w:rPr>
          <w:rFonts w:ascii="Helvetica" w:eastAsia="Times New Roman" w:hAnsi="Helvetica" w:cs="Times New Roman"/>
          <w:sz w:val="20"/>
          <w:szCs w:val="20"/>
        </w:rPr>
        <w:t xml:space="preserve">After its publication in 1950, for twenty years, the approach to developing curriculum and instruction that Tyler articulated in </w:t>
      </w:r>
      <w:r w:rsidRPr="00060AA2">
        <w:rPr>
          <w:rFonts w:ascii="Helvetica" w:eastAsia="Times New Roman" w:hAnsi="Helvetica" w:cs="Times New Roman"/>
          <w:i/>
          <w:iCs/>
          <w:sz w:val="20"/>
          <w:szCs w:val="20"/>
        </w:rPr>
        <w:t xml:space="preserve">Basic Principles of Curriculum and Instruction </w:t>
      </w:r>
      <w:r w:rsidRPr="00060AA2">
        <w:rPr>
          <w:rFonts w:ascii="Helvetica" w:eastAsia="Times New Roman" w:hAnsi="Helvetica" w:cs="Times New Roman"/>
          <w:sz w:val="20"/>
          <w:szCs w:val="20"/>
        </w:rPr>
        <w:t xml:space="preserve">went unchallenged until Herbert </w:t>
      </w:r>
      <w:proofErr w:type="spellStart"/>
      <w:r w:rsidRPr="00060AA2">
        <w:rPr>
          <w:rFonts w:ascii="Helvetica" w:eastAsia="Times New Roman" w:hAnsi="Helvetica" w:cs="Times New Roman"/>
          <w:sz w:val="20"/>
          <w:szCs w:val="20"/>
        </w:rPr>
        <w:t>Kliebard’s</w:t>
      </w:r>
      <w:proofErr w:type="spellEnd"/>
      <w:r w:rsidRPr="00060AA2">
        <w:rPr>
          <w:rFonts w:ascii="Helvetica" w:eastAsia="Times New Roman" w:hAnsi="Helvetica" w:cs="Times New Roman"/>
          <w:sz w:val="20"/>
          <w:szCs w:val="20"/>
        </w:rPr>
        <w:t xml:space="preserve"> (1970) unsparing </w:t>
      </w:r>
      <w:proofErr w:type="spellStart"/>
      <w:r w:rsidRPr="00060AA2">
        <w:rPr>
          <w:rFonts w:ascii="Helvetica" w:eastAsia="Times New Roman" w:hAnsi="Helvetica" w:cs="Times New Roman"/>
          <w:sz w:val="20"/>
          <w:szCs w:val="20"/>
        </w:rPr>
        <w:t>reevaluation</w:t>
      </w:r>
      <w:proofErr w:type="spellEnd"/>
      <w:r w:rsidRPr="00060AA2">
        <w:rPr>
          <w:rFonts w:ascii="Helvetica" w:eastAsia="Times New Roman" w:hAnsi="Helvetica" w:cs="Times New Roman"/>
          <w:sz w:val="20"/>
          <w:szCs w:val="20"/>
        </w:rPr>
        <w:t xml:space="preserve"> of many of Tyler’s assertions. Depicting Tyler’s rationale as «revealed doctrine» (p. 259) in the US curriculum field, </w:t>
      </w:r>
      <w:proofErr w:type="spellStart"/>
      <w:r w:rsidRPr="00060AA2">
        <w:rPr>
          <w:rFonts w:ascii="Helvetica" w:eastAsia="Times New Roman" w:hAnsi="Helvetica" w:cs="Times New Roman"/>
          <w:sz w:val="20"/>
          <w:szCs w:val="20"/>
        </w:rPr>
        <w:t>Kliebard</w:t>
      </w:r>
      <w:proofErr w:type="spellEnd"/>
      <w:r w:rsidRPr="00060AA2">
        <w:rPr>
          <w:rFonts w:ascii="Helvetica" w:eastAsia="Times New Roman" w:hAnsi="Helvetica" w:cs="Times New Roman"/>
          <w:sz w:val="20"/>
          <w:szCs w:val="20"/>
        </w:rPr>
        <w:t xml:space="preserve"> dismissed Tyler’s use of three sources for educational purposes as «simple eclecticism» (p. 260), rejected Tyler’s representation of the Committee of Ten’s curriculum recommendations (pp. 261-62), suggested that Tyler’s model was value neutral (p. 265), associated it with Franklin Bobbitt’s (1918, 1924) approach to activity analysis, characterized Tyler’s call to use philosophy as a screen for tentative objectives as «trivial, almost vacuous» (p. 266), portrayed Tyler’s rationale as «relentlessly» step-wise (p. 267), and implied that Tyler’s definition of education was narrowly behavioristic (p. 268). </w:t>
      </w:r>
      <w:proofErr w:type="spellStart"/>
      <w:r w:rsidRPr="00060AA2">
        <w:rPr>
          <w:rFonts w:ascii="Helvetica" w:eastAsia="Times New Roman" w:hAnsi="Helvetica" w:cs="Times New Roman"/>
          <w:sz w:val="20"/>
          <w:szCs w:val="20"/>
        </w:rPr>
        <w:t>Kliebard</w:t>
      </w:r>
      <w:proofErr w:type="spellEnd"/>
      <w:r w:rsidRPr="00060AA2">
        <w:rPr>
          <w:rFonts w:ascii="Helvetica" w:eastAsia="Times New Roman" w:hAnsi="Helvetica" w:cs="Times New Roman"/>
          <w:sz w:val="20"/>
          <w:szCs w:val="20"/>
        </w:rPr>
        <w:t xml:space="preserve"> concluded that Tyler’s rationale «will always stand as the model of curriculum development for those who conceive of the curriculum as a complex machinery for transforming the crude raw material that children bring with them to school into a finished and useful product» (p. 270). For </w:t>
      </w:r>
      <w:proofErr w:type="spellStart"/>
      <w:r w:rsidRPr="00060AA2">
        <w:rPr>
          <w:rFonts w:ascii="Helvetica" w:eastAsia="Times New Roman" w:hAnsi="Helvetica" w:cs="Times New Roman"/>
          <w:sz w:val="20"/>
          <w:szCs w:val="20"/>
        </w:rPr>
        <w:t>Kliebard</w:t>
      </w:r>
      <w:proofErr w:type="spellEnd"/>
      <w:r w:rsidRPr="00060AA2">
        <w:rPr>
          <w:rFonts w:ascii="Helvetica" w:eastAsia="Times New Roman" w:hAnsi="Helvetica" w:cs="Times New Roman"/>
          <w:sz w:val="20"/>
          <w:szCs w:val="20"/>
        </w:rPr>
        <w:t xml:space="preserve">, in the final analysis, Tyler’s rationale represented a «production model of curriculum and instruction» (p. 270). </w:t>
      </w:r>
    </w:p>
    <w:p w14:paraId="2F46E971" w14:textId="57E6273F" w:rsidR="00060AA2" w:rsidRDefault="00060AA2" w:rsidP="00060AA2">
      <w:pPr>
        <w:spacing w:before="100" w:beforeAutospacing="1" w:after="100" w:afterAutospacing="1"/>
        <w:rPr>
          <w:rFonts w:ascii="Helvetica" w:eastAsia="Times New Roman" w:hAnsi="Helvetica" w:cs="Times New Roman"/>
          <w:sz w:val="20"/>
          <w:szCs w:val="20"/>
        </w:rPr>
      </w:pPr>
      <w:r w:rsidRPr="00060AA2">
        <w:rPr>
          <w:rFonts w:ascii="Helvetica" w:eastAsia="Times New Roman" w:hAnsi="Helvetica" w:cs="Times New Roman"/>
          <w:sz w:val="20"/>
          <w:szCs w:val="20"/>
        </w:rPr>
        <w:t xml:space="preserve">Not long after the publication of </w:t>
      </w:r>
      <w:proofErr w:type="spellStart"/>
      <w:r w:rsidRPr="00060AA2">
        <w:rPr>
          <w:rFonts w:ascii="Helvetica" w:eastAsia="Times New Roman" w:hAnsi="Helvetica" w:cs="Times New Roman"/>
          <w:sz w:val="20"/>
          <w:szCs w:val="20"/>
        </w:rPr>
        <w:t>Kliebard’s</w:t>
      </w:r>
      <w:proofErr w:type="spellEnd"/>
      <w:r w:rsidRPr="00060AA2">
        <w:rPr>
          <w:rFonts w:ascii="Helvetica" w:eastAsia="Times New Roman" w:hAnsi="Helvetica" w:cs="Times New Roman"/>
          <w:sz w:val="20"/>
          <w:szCs w:val="20"/>
        </w:rPr>
        <w:t xml:space="preserve"> (1970) critique, Antonelli (1972, p. 72), in what was mostly a biographical sketch of Tyler’s lifework, refuted </w:t>
      </w:r>
      <w:proofErr w:type="spellStart"/>
      <w:r w:rsidRPr="00060AA2">
        <w:rPr>
          <w:rFonts w:ascii="Helvetica" w:eastAsia="Times New Roman" w:hAnsi="Helvetica" w:cs="Times New Roman"/>
          <w:sz w:val="20"/>
          <w:szCs w:val="20"/>
        </w:rPr>
        <w:t>Kliebard’s</w:t>
      </w:r>
      <w:proofErr w:type="spellEnd"/>
      <w:r w:rsidRPr="00060AA2">
        <w:rPr>
          <w:rFonts w:ascii="Helvetica" w:eastAsia="Times New Roman" w:hAnsi="Helvetica" w:cs="Times New Roman"/>
          <w:sz w:val="20"/>
          <w:szCs w:val="20"/>
        </w:rPr>
        <w:t xml:space="preserve"> association of Tyler’s rationale with Bobbitt’s approach to job analysis, on the grounds that while job analysis almost exclusively drew from society as a source of educational objectives, Tyler (1949) also drew from the nature of the student and of subject matter in selecting educational purposes. Antonelli’s analysis subsequently seems to have been largely overlooked by curriculum scholars in the US, for during the 1970s and 1980s </w:t>
      </w:r>
      <w:proofErr w:type="spellStart"/>
      <w:r w:rsidRPr="00060AA2">
        <w:rPr>
          <w:rFonts w:ascii="Helvetica" w:eastAsia="Times New Roman" w:hAnsi="Helvetica" w:cs="Times New Roman"/>
          <w:sz w:val="20"/>
          <w:szCs w:val="20"/>
        </w:rPr>
        <w:t>Kliebard’s</w:t>
      </w:r>
      <w:proofErr w:type="spellEnd"/>
      <w:r w:rsidRPr="00060AA2">
        <w:rPr>
          <w:rFonts w:ascii="Helvetica" w:eastAsia="Times New Roman" w:hAnsi="Helvetica" w:cs="Times New Roman"/>
          <w:sz w:val="20"/>
          <w:szCs w:val="20"/>
        </w:rPr>
        <w:t xml:space="preserve"> critique of Tyler’s rationale seemed to assume the status of near orthodoxy, especially among so-called </w:t>
      </w:r>
      <w:proofErr w:type="spellStart"/>
      <w:r w:rsidRPr="00060AA2">
        <w:rPr>
          <w:rFonts w:ascii="Helvetica" w:eastAsia="Times New Roman" w:hAnsi="Helvetica" w:cs="Times New Roman"/>
          <w:sz w:val="20"/>
          <w:szCs w:val="20"/>
        </w:rPr>
        <w:t>reconceptualist</w:t>
      </w:r>
      <w:proofErr w:type="spellEnd"/>
      <w:r w:rsidRPr="00060AA2">
        <w:rPr>
          <w:rFonts w:ascii="Helvetica" w:eastAsia="Times New Roman" w:hAnsi="Helvetica" w:cs="Times New Roman"/>
          <w:sz w:val="20"/>
          <w:szCs w:val="20"/>
        </w:rPr>
        <w:t xml:space="preserve"> curriculum theorists looking to repudiate the historic field of curriculum development in order to turn curriculum scholarship increasingly away from school practice and toward expansive theoretical inquiries. </w:t>
      </w:r>
    </w:p>
    <w:p w14:paraId="546A3101" w14:textId="77777777" w:rsidR="00060AA2" w:rsidRDefault="00060AA2" w:rsidP="00060AA2">
      <w:pPr>
        <w:pStyle w:val="NormalWeb"/>
      </w:pPr>
      <w:r>
        <w:rPr>
          <w:rFonts w:ascii="Helvetica" w:hAnsi="Helvetica"/>
          <w:sz w:val="20"/>
          <w:szCs w:val="20"/>
        </w:rPr>
        <w:t xml:space="preserve">About twenty years after the publication of </w:t>
      </w:r>
      <w:proofErr w:type="spellStart"/>
      <w:r>
        <w:rPr>
          <w:rFonts w:ascii="Helvetica" w:hAnsi="Helvetica"/>
          <w:sz w:val="20"/>
          <w:szCs w:val="20"/>
        </w:rPr>
        <w:t>Kliebard’s</w:t>
      </w:r>
      <w:proofErr w:type="spellEnd"/>
      <w:r>
        <w:rPr>
          <w:rFonts w:ascii="Helvetica" w:hAnsi="Helvetica"/>
          <w:sz w:val="20"/>
          <w:szCs w:val="20"/>
        </w:rPr>
        <w:t xml:space="preserve"> (1970) critique, </w:t>
      </w:r>
      <w:proofErr w:type="spellStart"/>
      <w:r>
        <w:rPr>
          <w:rFonts w:ascii="Helvetica" w:hAnsi="Helvetica"/>
          <w:sz w:val="20"/>
          <w:szCs w:val="20"/>
        </w:rPr>
        <w:t>Hlebowitsh</w:t>
      </w:r>
      <w:proofErr w:type="spellEnd"/>
      <w:r>
        <w:rPr>
          <w:rFonts w:ascii="Helvetica" w:hAnsi="Helvetica"/>
          <w:sz w:val="20"/>
          <w:szCs w:val="20"/>
        </w:rPr>
        <w:t xml:space="preserve"> (1992) reviewed the accumulated criticisms of Tyler’s rationale in the US curriculum literature. Focusing on the association of Tyler’s rationale with Bobbitt’s activity analysis, on the assertion that Tyler advocated highly specific objectives, and on depictions of Tyler’s model as behavioristic, irrefragably linear, and philosophically neutral, </w:t>
      </w:r>
      <w:proofErr w:type="spellStart"/>
      <w:r>
        <w:rPr>
          <w:rFonts w:ascii="Helvetica" w:hAnsi="Helvetica"/>
          <w:sz w:val="20"/>
          <w:szCs w:val="20"/>
        </w:rPr>
        <w:t>Hlebowitsh</w:t>
      </w:r>
      <w:proofErr w:type="spellEnd"/>
      <w:r>
        <w:rPr>
          <w:rFonts w:ascii="Helvetica" w:hAnsi="Helvetica"/>
          <w:sz w:val="20"/>
          <w:szCs w:val="20"/>
        </w:rPr>
        <w:t xml:space="preserve"> found that these claims were problematic largely because they were based upon misrepresentations of what Tyler actually wrote – findings which </w:t>
      </w:r>
      <w:proofErr w:type="spellStart"/>
      <w:r>
        <w:rPr>
          <w:rFonts w:ascii="Helvetica" w:hAnsi="Helvetica"/>
          <w:sz w:val="20"/>
          <w:szCs w:val="20"/>
        </w:rPr>
        <w:t>Kliebard</w:t>
      </w:r>
      <w:proofErr w:type="spellEnd"/>
      <w:r>
        <w:rPr>
          <w:rFonts w:ascii="Helvetica" w:hAnsi="Helvetica"/>
          <w:sz w:val="20"/>
          <w:szCs w:val="20"/>
        </w:rPr>
        <w:t xml:space="preserve"> (1995) dismissed. Subsequently, </w:t>
      </w:r>
      <w:proofErr w:type="spellStart"/>
      <w:r>
        <w:rPr>
          <w:rFonts w:ascii="Helvetica" w:hAnsi="Helvetica"/>
          <w:sz w:val="20"/>
          <w:szCs w:val="20"/>
        </w:rPr>
        <w:t>Hlebowitsh’s</w:t>
      </w:r>
      <w:proofErr w:type="spellEnd"/>
      <w:r>
        <w:rPr>
          <w:rFonts w:ascii="Helvetica" w:hAnsi="Helvetica"/>
          <w:sz w:val="20"/>
          <w:szCs w:val="20"/>
        </w:rPr>
        <w:t xml:space="preserve"> attempt to correct misrepresentations of Tyler’s rationale seems to have had little impact, as US curriculum scholarship continued to interpret Tyler’s model as an impossibly linear, behavioristic, and narrowly technical model of curriculum construction (e.g., Pinar, Reynolds, Slattery &amp; Taubman, 1995, pp. 148-49; Ellis &amp; </w:t>
      </w:r>
      <w:proofErr w:type="spellStart"/>
      <w:r>
        <w:rPr>
          <w:rFonts w:ascii="Helvetica" w:hAnsi="Helvetica"/>
          <w:sz w:val="20"/>
          <w:szCs w:val="20"/>
        </w:rPr>
        <w:t>Fouts</w:t>
      </w:r>
      <w:proofErr w:type="spellEnd"/>
      <w:r>
        <w:rPr>
          <w:rFonts w:ascii="Helvetica" w:hAnsi="Helvetica"/>
          <w:sz w:val="20"/>
          <w:szCs w:val="20"/>
        </w:rPr>
        <w:t xml:space="preserve">, 1997; Slattery, 2006, pp. 52-53; Marsh &amp; Willis, 2007, p. 72). </w:t>
      </w:r>
      <w:r>
        <w:rPr>
          <w:rFonts w:ascii="Helvetica" w:hAnsi="Helvetica"/>
          <w:sz w:val="20"/>
          <w:szCs w:val="20"/>
        </w:rPr>
        <w:lastRenderedPageBreak/>
        <w:t>Such renderings also have spread from the general curriculum field to other fields, such as adult education (</w:t>
      </w:r>
      <w:proofErr w:type="spellStart"/>
      <w:r>
        <w:rPr>
          <w:rFonts w:ascii="Helvetica" w:hAnsi="Helvetica"/>
          <w:sz w:val="20"/>
          <w:szCs w:val="20"/>
        </w:rPr>
        <w:t>Sork</w:t>
      </w:r>
      <w:proofErr w:type="spellEnd"/>
      <w:r>
        <w:rPr>
          <w:rFonts w:ascii="Helvetica" w:hAnsi="Helvetica"/>
          <w:sz w:val="20"/>
          <w:szCs w:val="20"/>
        </w:rPr>
        <w:t xml:space="preserve">, 2000) and music education (Hanley &amp; Montgomery, 2002; see </w:t>
      </w:r>
      <w:proofErr w:type="spellStart"/>
      <w:r>
        <w:rPr>
          <w:rFonts w:ascii="Helvetica" w:hAnsi="Helvetica"/>
          <w:sz w:val="20"/>
          <w:szCs w:val="20"/>
        </w:rPr>
        <w:t>Wraga</w:t>
      </w:r>
      <w:proofErr w:type="spellEnd"/>
      <w:r>
        <w:rPr>
          <w:rFonts w:ascii="Helvetica" w:hAnsi="Helvetica"/>
          <w:sz w:val="20"/>
          <w:szCs w:val="20"/>
        </w:rPr>
        <w:t xml:space="preserve">, 2016). </w:t>
      </w:r>
    </w:p>
    <w:p w14:paraId="690C76EF" w14:textId="77777777" w:rsidR="003C7FF1" w:rsidRPr="00060AA2" w:rsidRDefault="003C7FF1" w:rsidP="003C7FF1">
      <w:pPr>
        <w:spacing w:before="100" w:beforeAutospacing="1" w:after="100" w:afterAutospacing="1"/>
        <w:rPr>
          <w:rFonts w:ascii="Times New Roman" w:eastAsia="Times New Roman" w:hAnsi="Times New Roman" w:cs="Times New Roman"/>
        </w:rPr>
      </w:pPr>
      <w:r w:rsidRPr="00060AA2">
        <w:rPr>
          <w:rFonts w:ascii="Helvetica" w:eastAsia="Times New Roman" w:hAnsi="Helvetica" w:cs="Times New Roman"/>
          <w:position w:val="6"/>
          <w:sz w:val="10"/>
          <w:szCs w:val="10"/>
        </w:rPr>
        <w:t xml:space="preserve">1 </w:t>
      </w:r>
      <w:r w:rsidRPr="00060AA2">
        <w:rPr>
          <w:rFonts w:ascii="Helvetica" w:eastAsia="Times New Roman" w:hAnsi="Helvetica" w:cs="Times New Roman"/>
          <w:sz w:val="16"/>
          <w:szCs w:val="16"/>
        </w:rPr>
        <w:t xml:space="preserve">Including Danish, Dutch, German, Japanese, Portuguese, Spanish, and a Nigerian edition in English. Ralph W. Tyler Papers, Special Collections Research Center, University of Chicago Library. </w:t>
      </w:r>
    </w:p>
    <w:p w14:paraId="6A35A9DC" w14:textId="77777777" w:rsidR="00060AA2" w:rsidRPr="00060AA2" w:rsidRDefault="00060AA2" w:rsidP="00060AA2">
      <w:pPr>
        <w:spacing w:before="100" w:beforeAutospacing="1" w:after="100" w:afterAutospacing="1"/>
        <w:rPr>
          <w:rFonts w:ascii="Times New Roman" w:eastAsia="Times New Roman" w:hAnsi="Times New Roman" w:cs="Times New Roman"/>
        </w:rPr>
      </w:pPr>
    </w:p>
    <w:p w14:paraId="5D92DD56" w14:textId="77777777" w:rsidR="003C7FF1" w:rsidRPr="003C7FF1" w:rsidRDefault="003C7FF1" w:rsidP="00F25DFB">
      <w:pPr>
        <w:shd w:val="clear" w:color="auto" w:fill="FFFFFF"/>
        <w:spacing w:after="120"/>
        <w:ind w:right="240"/>
        <w:outlineLvl w:val="1"/>
        <w:rPr>
          <w:rFonts w:eastAsia="Times New Roman" w:cstheme="minorHAnsi"/>
          <w:b/>
          <w:color w:val="111111"/>
          <w:sz w:val="22"/>
          <w:szCs w:val="22"/>
        </w:rPr>
      </w:pPr>
      <w:r w:rsidRPr="003C7FF1">
        <w:rPr>
          <w:rFonts w:eastAsia="Times New Roman" w:cstheme="minorHAnsi"/>
          <w:b/>
          <w:color w:val="111111"/>
          <w:sz w:val="22"/>
          <w:szCs w:val="22"/>
        </w:rPr>
        <w:t>About this journal:</w:t>
      </w:r>
    </w:p>
    <w:p w14:paraId="52E2B903" w14:textId="6642027C" w:rsidR="00F25DFB" w:rsidRPr="00F25DFB" w:rsidRDefault="00F25DFB" w:rsidP="00F25DFB">
      <w:pPr>
        <w:shd w:val="clear" w:color="auto" w:fill="FFFFFF"/>
        <w:spacing w:after="120"/>
        <w:ind w:right="240"/>
        <w:outlineLvl w:val="1"/>
        <w:rPr>
          <w:rFonts w:eastAsia="Times New Roman" w:cstheme="minorHAnsi"/>
          <w:b/>
          <w:color w:val="111111"/>
          <w:sz w:val="18"/>
          <w:szCs w:val="18"/>
        </w:rPr>
      </w:pPr>
      <w:proofErr w:type="spellStart"/>
      <w:r w:rsidRPr="00F25DFB">
        <w:rPr>
          <w:rFonts w:eastAsia="Times New Roman" w:cstheme="minorHAnsi"/>
          <w:b/>
          <w:color w:val="111111"/>
          <w:sz w:val="18"/>
          <w:szCs w:val="18"/>
        </w:rPr>
        <w:t>Espacio</w:t>
      </w:r>
      <w:proofErr w:type="spellEnd"/>
      <w:r w:rsidRPr="00F25DFB">
        <w:rPr>
          <w:rFonts w:eastAsia="Times New Roman" w:cstheme="minorHAnsi"/>
          <w:b/>
          <w:color w:val="111111"/>
          <w:sz w:val="18"/>
          <w:szCs w:val="18"/>
        </w:rPr>
        <w:t xml:space="preserve">, </w:t>
      </w:r>
      <w:proofErr w:type="spellStart"/>
      <w:r w:rsidRPr="00F25DFB">
        <w:rPr>
          <w:rFonts w:eastAsia="Times New Roman" w:cstheme="minorHAnsi"/>
          <w:b/>
          <w:color w:val="111111"/>
          <w:sz w:val="18"/>
          <w:szCs w:val="18"/>
        </w:rPr>
        <w:t>Tiempo</w:t>
      </w:r>
      <w:proofErr w:type="spellEnd"/>
      <w:r w:rsidRPr="00F25DFB">
        <w:rPr>
          <w:rFonts w:eastAsia="Times New Roman" w:cstheme="minorHAnsi"/>
          <w:b/>
          <w:color w:val="111111"/>
          <w:sz w:val="18"/>
          <w:szCs w:val="18"/>
        </w:rPr>
        <w:t xml:space="preserve"> y </w:t>
      </w:r>
      <w:proofErr w:type="spellStart"/>
      <w:r w:rsidRPr="00F25DFB">
        <w:rPr>
          <w:rFonts w:eastAsia="Times New Roman" w:cstheme="minorHAnsi"/>
          <w:b/>
          <w:color w:val="111111"/>
          <w:sz w:val="18"/>
          <w:szCs w:val="18"/>
        </w:rPr>
        <w:t>Educación</w:t>
      </w:r>
      <w:proofErr w:type="spellEnd"/>
    </w:p>
    <w:p w14:paraId="5EE08E11" w14:textId="77777777" w:rsidR="00F25DFB" w:rsidRPr="00F25DFB" w:rsidRDefault="00F25DFB" w:rsidP="00F25DFB">
      <w:pPr>
        <w:shd w:val="clear" w:color="auto" w:fill="FFFFFF"/>
        <w:spacing w:before="240" w:after="240"/>
        <w:rPr>
          <w:rFonts w:eastAsia="Times New Roman" w:cstheme="minorHAnsi"/>
          <w:color w:val="111111"/>
          <w:sz w:val="18"/>
          <w:szCs w:val="18"/>
        </w:rPr>
      </w:pPr>
      <w:r w:rsidRPr="00F25DFB">
        <w:rPr>
          <w:rFonts w:eastAsia="Times New Roman" w:cstheme="minorHAnsi"/>
          <w:color w:val="111111"/>
          <w:sz w:val="18"/>
          <w:szCs w:val="18"/>
        </w:rPr>
        <w:t>Space and Time are two variables which, to a large extent, determine reality, make a mark on all its aspects, condition the opportunities and paths of people and societies, as well as those of thought, science, technology and many other manifestations of Reason, Freedom and Utopia. Education, a genuinely human phenomenon, is no stranger to such influences: it is a past and a present factor which is both conditioning and conditioned over the course of history and the present.</w:t>
      </w:r>
    </w:p>
    <w:p w14:paraId="67B7042E" w14:textId="77777777" w:rsidR="00F25DFB" w:rsidRPr="00F25DFB" w:rsidRDefault="00F25DFB" w:rsidP="00F25DFB">
      <w:pPr>
        <w:shd w:val="clear" w:color="auto" w:fill="FFFFFF"/>
        <w:spacing w:before="240" w:after="240"/>
        <w:rPr>
          <w:rFonts w:eastAsia="Times New Roman" w:cstheme="minorHAnsi"/>
          <w:color w:val="111111"/>
          <w:sz w:val="18"/>
          <w:szCs w:val="18"/>
        </w:rPr>
      </w:pPr>
      <w:proofErr w:type="spellStart"/>
      <w:r w:rsidRPr="00F25DFB">
        <w:rPr>
          <w:rFonts w:eastAsia="Times New Roman" w:cstheme="minorHAnsi"/>
          <w:i/>
          <w:iCs/>
          <w:color w:val="111111"/>
          <w:sz w:val="18"/>
          <w:szCs w:val="18"/>
        </w:rPr>
        <w:t>Espacio</w:t>
      </w:r>
      <w:proofErr w:type="spellEnd"/>
      <w:r w:rsidRPr="00F25DFB">
        <w:rPr>
          <w:rFonts w:eastAsia="Times New Roman" w:cstheme="minorHAnsi"/>
          <w:i/>
          <w:iCs/>
          <w:color w:val="111111"/>
          <w:sz w:val="18"/>
          <w:szCs w:val="18"/>
        </w:rPr>
        <w:t xml:space="preserve">, </w:t>
      </w:r>
      <w:proofErr w:type="spellStart"/>
      <w:r w:rsidRPr="00F25DFB">
        <w:rPr>
          <w:rFonts w:eastAsia="Times New Roman" w:cstheme="minorHAnsi"/>
          <w:i/>
          <w:iCs/>
          <w:color w:val="111111"/>
          <w:sz w:val="18"/>
          <w:szCs w:val="18"/>
        </w:rPr>
        <w:t>Tiempo</w:t>
      </w:r>
      <w:proofErr w:type="spellEnd"/>
      <w:r w:rsidRPr="00F25DFB">
        <w:rPr>
          <w:rFonts w:eastAsia="Times New Roman" w:cstheme="minorHAnsi"/>
          <w:i/>
          <w:iCs/>
          <w:color w:val="111111"/>
          <w:sz w:val="18"/>
          <w:szCs w:val="18"/>
        </w:rPr>
        <w:t xml:space="preserve"> y </w:t>
      </w:r>
      <w:proofErr w:type="spellStart"/>
      <w:r w:rsidRPr="00F25DFB">
        <w:rPr>
          <w:rFonts w:eastAsia="Times New Roman" w:cstheme="minorHAnsi"/>
          <w:i/>
          <w:iCs/>
          <w:color w:val="111111"/>
          <w:sz w:val="18"/>
          <w:szCs w:val="18"/>
        </w:rPr>
        <w:t>Educación</w:t>
      </w:r>
      <w:proofErr w:type="spellEnd"/>
      <w:r w:rsidRPr="00F25DFB">
        <w:rPr>
          <w:rFonts w:eastAsia="Times New Roman" w:cstheme="minorHAnsi"/>
          <w:i/>
          <w:iCs/>
          <w:color w:val="111111"/>
          <w:sz w:val="18"/>
          <w:szCs w:val="18"/>
        </w:rPr>
        <w:t> </w:t>
      </w:r>
      <w:r w:rsidRPr="00F25DFB">
        <w:rPr>
          <w:rFonts w:eastAsia="Times New Roman" w:cstheme="minorHAnsi"/>
          <w:color w:val="111111"/>
          <w:sz w:val="18"/>
          <w:szCs w:val="18"/>
        </w:rPr>
        <w:t xml:space="preserve">is an open access, free and independent scientific journal, with a six-monthly periodicity (two issues every year) published by </w:t>
      </w:r>
      <w:proofErr w:type="spellStart"/>
      <w:r w:rsidRPr="00F25DFB">
        <w:rPr>
          <w:rFonts w:eastAsia="Times New Roman" w:cstheme="minorHAnsi"/>
          <w:color w:val="111111"/>
          <w:sz w:val="18"/>
          <w:szCs w:val="18"/>
        </w:rPr>
        <w:t>FahrenHouse</w:t>
      </w:r>
      <w:proofErr w:type="spellEnd"/>
      <w:r w:rsidRPr="00F25DFB">
        <w:rPr>
          <w:rFonts w:eastAsia="Times New Roman" w:cstheme="minorHAnsi"/>
          <w:color w:val="111111"/>
          <w:sz w:val="18"/>
          <w:szCs w:val="18"/>
        </w:rPr>
        <w:t xml:space="preserve"> (Salamanca, Spain). The main object of the journal consists in publishing researches, studies and critical essays about the History of Education, in any space and time, adopting theoretical, philosophical and methodological perspectives. </w:t>
      </w:r>
      <w:proofErr w:type="gramStart"/>
      <w:r w:rsidRPr="00F25DFB">
        <w:rPr>
          <w:rFonts w:eastAsia="Times New Roman" w:cstheme="minorHAnsi"/>
          <w:color w:val="111111"/>
          <w:sz w:val="18"/>
          <w:szCs w:val="18"/>
        </w:rPr>
        <w:t>Generally</w:t>
      </w:r>
      <w:proofErr w:type="gramEnd"/>
      <w:r w:rsidRPr="00F25DFB">
        <w:rPr>
          <w:rFonts w:eastAsia="Times New Roman" w:cstheme="minorHAnsi"/>
          <w:color w:val="111111"/>
          <w:sz w:val="18"/>
          <w:szCs w:val="18"/>
        </w:rPr>
        <w:t xml:space="preserve"> the structure of each number is composed by editorial, monographic, studies and interview. All items received by </w:t>
      </w:r>
      <w:proofErr w:type="spellStart"/>
      <w:r w:rsidRPr="00F25DFB">
        <w:rPr>
          <w:rFonts w:eastAsia="Times New Roman" w:cstheme="minorHAnsi"/>
          <w:i/>
          <w:iCs/>
          <w:color w:val="111111"/>
          <w:sz w:val="18"/>
          <w:szCs w:val="18"/>
        </w:rPr>
        <w:t>Espacio</w:t>
      </w:r>
      <w:proofErr w:type="spellEnd"/>
      <w:r w:rsidRPr="00F25DFB">
        <w:rPr>
          <w:rFonts w:eastAsia="Times New Roman" w:cstheme="minorHAnsi"/>
          <w:i/>
          <w:iCs/>
          <w:color w:val="111111"/>
          <w:sz w:val="18"/>
          <w:szCs w:val="18"/>
        </w:rPr>
        <w:t xml:space="preserve">, </w:t>
      </w:r>
      <w:proofErr w:type="spellStart"/>
      <w:r w:rsidRPr="00F25DFB">
        <w:rPr>
          <w:rFonts w:eastAsia="Times New Roman" w:cstheme="minorHAnsi"/>
          <w:i/>
          <w:iCs/>
          <w:color w:val="111111"/>
          <w:sz w:val="18"/>
          <w:szCs w:val="18"/>
        </w:rPr>
        <w:t>Tiempo</w:t>
      </w:r>
      <w:proofErr w:type="spellEnd"/>
      <w:r w:rsidRPr="00F25DFB">
        <w:rPr>
          <w:rFonts w:eastAsia="Times New Roman" w:cstheme="minorHAnsi"/>
          <w:i/>
          <w:iCs/>
          <w:color w:val="111111"/>
          <w:sz w:val="18"/>
          <w:szCs w:val="18"/>
        </w:rPr>
        <w:t xml:space="preserve"> y </w:t>
      </w:r>
      <w:proofErr w:type="spellStart"/>
      <w:r w:rsidRPr="00F25DFB">
        <w:rPr>
          <w:rFonts w:eastAsia="Times New Roman" w:cstheme="minorHAnsi"/>
          <w:i/>
          <w:iCs/>
          <w:color w:val="111111"/>
          <w:sz w:val="18"/>
          <w:szCs w:val="18"/>
        </w:rPr>
        <w:t>Educación</w:t>
      </w:r>
      <w:proofErr w:type="spellEnd"/>
      <w:r w:rsidRPr="00F25DFB">
        <w:rPr>
          <w:rFonts w:eastAsia="Times New Roman" w:cstheme="minorHAnsi"/>
          <w:i/>
          <w:iCs/>
          <w:color w:val="111111"/>
          <w:sz w:val="18"/>
          <w:szCs w:val="18"/>
        </w:rPr>
        <w:t> </w:t>
      </w:r>
      <w:r w:rsidRPr="00F25DFB">
        <w:rPr>
          <w:rFonts w:eastAsia="Times New Roman" w:cstheme="minorHAnsi"/>
          <w:color w:val="111111"/>
          <w:sz w:val="18"/>
          <w:szCs w:val="18"/>
        </w:rPr>
        <w:t xml:space="preserve">for the sections “Monographic” and “Studies” are submitted to the </w:t>
      </w:r>
      <w:proofErr w:type="gramStart"/>
      <w:r w:rsidRPr="00F25DFB">
        <w:rPr>
          <w:rFonts w:eastAsia="Times New Roman" w:cstheme="minorHAnsi"/>
          <w:color w:val="111111"/>
          <w:sz w:val="18"/>
          <w:szCs w:val="18"/>
        </w:rPr>
        <w:t>double blind</w:t>
      </w:r>
      <w:proofErr w:type="gramEnd"/>
      <w:r w:rsidRPr="00F25DFB">
        <w:rPr>
          <w:rFonts w:eastAsia="Times New Roman" w:cstheme="minorHAnsi"/>
          <w:color w:val="111111"/>
          <w:sz w:val="18"/>
          <w:szCs w:val="18"/>
        </w:rPr>
        <w:t xml:space="preserve"> peer review external evaluation process. </w:t>
      </w:r>
      <w:proofErr w:type="spellStart"/>
      <w:r w:rsidRPr="00F25DFB">
        <w:rPr>
          <w:rFonts w:eastAsia="Times New Roman" w:cstheme="minorHAnsi"/>
          <w:i/>
          <w:iCs/>
          <w:color w:val="111111"/>
          <w:sz w:val="18"/>
          <w:szCs w:val="18"/>
        </w:rPr>
        <w:t>Espacio</w:t>
      </w:r>
      <w:proofErr w:type="spellEnd"/>
      <w:r w:rsidRPr="00F25DFB">
        <w:rPr>
          <w:rFonts w:eastAsia="Times New Roman" w:cstheme="minorHAnsi"/>
          <w:i/>
          <w:iCs/>
          <w:color w:val="111111"/>
          <w:sz w:val="18"/>
          <w:szCs w:val="18"/>
        </w:rPr>
        <w:t xml:space="preserve">, </w:t>
      </w:r>
      <w:proofErr w:type="spellStart"/>
      <w:r w:rsidRPr="00F25DFB">
        <w:rPr>
          <w:rFonts w:eastAsia="Times New Roman" w:cstheme="minorHAnsi"/>
          <w:i/>
          <w:iCs/>
          <w:color w:val="111111"/>
          <w:sz w:val="18"/>
          <w:szCs w:val="18"/>
        </w:rPr>
        <w:t>Tiempo</w:t>
      </w:r>
      <w:proofErr w:type="spellEnd"/>
      <w:r w:rsidRPr="00F25DFB">
        <w:rPr>
          <w:rFonts w:eastAsia="Times New Roman" w:cstheme="minorHAnsi"/>
          <w:i/>
          <w:iCs/>
          <w:color w:val="111111"/>
          <w:sz w:val="18"/>
          <w:szCs w:val="18"/>
        </w:rPr>
        <w:t xml:space="preserve"> y </w:t>
      </w:r>
      <w:proofErr w:type="spellStart"/>
      <w:r w:rsidRPr="00F25DFB">
        <w:rPr>
          <w:rFonts w:eastAsia="Times New Roman" w:cstheme="minorHAnsi"/>
          <w:i/>
          <w:iCs/>
          <w:color w:val="111111"/>
          <w:sz w:val="18"/>
          <w:szCs w:val="18"/>
        </w:rPr>
        <w:t>Educación</w:t>
      </w:r>
      <w:proofErr w:type="spellEnd"/>
      <w:r w:rsidRPr="00F25DFB">
        <w:rPr>
          <w:rFonts w:eastAsia="Times New Roman" w:cstheme="minorHAnsi"/>
          <w:i/>
          <w:iCs/>
          <w:color w:val="111111"/>
          <w:sz w:val="18"/>
          <w:szCs w:val="18"/>
        </w:rPr>
        <w:t> </w:t>
      </w:r>
      <w:r w:rsidRPr="00F25DFB">
        <w:rPr>
          <w:rFonts w:eastAsia="Times New Roman" w:cstheme="minorHAnsi"/>
          <w:color w:val="111111"/>
          <w:sz w:val="18"/>
          <w:szCs w:val="18"/>
        </w:rPr>
        <w:t>accepts articles in different languages as Spanish, English, Italian and Portuguese (more information in “Guidelines for the Authors”).</w:t>
      </w:r>
    </w:p>
    <w:p w14:paraId="73284907" w14:textId="77777777" w:rsidR="00F25DFB" w:rsidRPr="00F25DFB" w:rsidRDefault="00F25DFB" w:rsidP="00F25DFB">
      <w:pPr>
        <w:shd w:val="clear" w:color="auto" w:fill="FFFFFF"/>
        <w:spacing w:before="240" w:after="240"/>
        <w:rPr>
          <w:rFonts w:eastAsia="Times New Roman" w:cstheme="minorHAnsi"/>
          <w:color w:val="111111"/>
          <w:sz w:val="18"/>
          <w:szCs w:val="18"/>
        </w:rPr>
      </w:pPr>
      <w:proofErr w:type="spellStart"/>
      <w:r w:rsidRPr="00F25DFB">
        <w:rPr>
          <w:rFonts w:eastAsia="Times New Roman" w:cstheme="minorHAnsi"/>
          <w:i/>
          <w:iCs/>
          <w:color w:val="111111"/>
          <w:sz w:val="18"/>
          <w:szCs w:val="18"/>
        </w:rPr>
        <w:t>Espacio</w:t>
      </w:r>
      <w:proofErr w:type="spellEnd"/>
      <w:r w:rsidRPr="00F25DFB">
        <w:rPr>
          <w:rFonts w:eastAsia="Times New Roman" w:cstheme="minorHAnsi"/>
          <w:i/>
          <w:iCs/>
          <w:color w:val="111111"/>
          <w:sz w:val="18"/>
          <w:szCs w:val="18"/>
        </w:rPr>
        <w:t xml:space="preserve">, </w:t>
      </w:r>
      <w:proofErr w:type="spellStart"/>
      <w:r w:rsidRPr="00F25DFB">
        <w:rPr>
          <w:rFonts w:eastAsia="Times New Roman" w:cstheme="minorHAnsi"/>
          <w:i/>
          <w:iCs/>
          <w:color w:val="111111"/>
          <w:sz w:val="18"/>
          <w:szCs w:val="18"/>
        </w:rPr>
        <w:t>Tiempo</w:t>
      </w:r>
      <w:proofErr w:type="spellEnd"/>
      <w:r w:rsidRPr="00F25DFB">
        <w:rPr>
          <w:rFonts w:eastAsia="Times New Roman" w:cstheme="minorHAnsi"/>
          <w:i/>
          <w:iCs/>
          <w:color w:val="111111"/>
          <w:sz w:val="18"/>
          <w:szCs w:val="18"/>
        </w:rPr>
        <w:t xml:space="preserve"> y </w:t>
      </w:r>
      <w:proofErr w:type="spellStart"/>
      <w:r w:rsidRPr="00F25DFB">
        <w:rPr>
          <w:rFonts w:eastAsia="Times New Roman" w:cstheme="minorHAnsi"/>
          <w:i/>
          <w:iCs/>
          <w:color w:val="111111"/>
          <w:sz w:val="18"/>
          <w:szCs w:val="18"/>
        </w:rPr>
        <w:t>Educación</w:t>
      </w:r>
      <w:proofErr w:type="spellEnd"/>
      <w:r w:rsidRPr="00F25DFB">
        <w:rPr>
          <w:rFonts w:eastAsia="Times New Roman" w:cstheme="minorHAnsi"/>
          <w:i/>
          <w:iCs/>
          <w:color w:val="111111"/>
          <w:sz w:val="18"/>
          <w:szCs w:val="18"/>
        </w:rPr>
        <w:t> </w:t>
      </w:r>
      <w:r w:rsidRPr="00F25DFB">
        <w:rPr>
          <w:rFonts w:eastAsia="Times New Roman" w:cstheme="minorHAnsi"/>
          <w:color w:val="111111"/>
          <w:sz w:val="18"/>
          <w:szCs w:val="18"/>
        </w:rPr>
        <w:t>addresses mainly researchers, scholars and academics in the field of the History of Education, as well as other free and independent people who care about issues of thought, culture, society and education in a historical perspective and who are willing to debate their policies and researches with others.</w:t>
      </w:r>
    </w:p>
    <w:p w14:paraId="0367D64A" w14:textId="77777777" w:rsidR="00900FFE" w:rsidRPr="00F25DFB" w:rsidRDefault="00900FFE">
      <w:pPr>
        <w:rPr>
          <w:rFonts w:cstheme="minorHAnsi"/>
          <w:sz w:val="18"/>
          <w:szCs w:val="18"/>
          <w:lang w:val="en-US"/>
        </w:rPr>
      </w:pPr>
    </w:p>
    <w:sectPr w:rsidR="00900FFE" w:rsidRPr="00F25DFB" w:rsidSect="00A80A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C4"/>
    <w:rsid w:val="00060AA2"/>
    <w:rsid w:val="003C7FF1"/>
    <w:rsid w:val="006B2D97"/>
    <w:rsid w:val="00900FFE"/>
    <w:rsid w:val="00A80AF2"/>
    <w:rsid w:val="00D711C4"/>
    <w:rsid w:val="00E4264B"/>
    <w:rsid w:val="00E9225E"/>
    <w:rsid w:val="00F25D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5429098"/>
  <w15:chartTrackingRefBased/>
  <w15:docId w15:val="{9150CCB0-ACA9-AC49-B85E-8D7400E2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25DF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FF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25DFB"/>
    <w:rPr>
      <w:rFonts w:ascii="Times New Roman" w:eastAsia="Times New Roman" w:hAnsi="Times New Roman" w:cs="Times New Roman"/>
      <w:b/>
      <w:bCs/>
      <w:sz w:val="36"/>
      <w:szCs w:val="36"/>
    </w:rPr>
  </w:style>
  <w:style w:type="character" w:styleId="Emphasis">
    <w:name w:val="Emphasis"/>
    <w:basedOn w:val="DefaultParagraphFont"/>
    <w:uiPriority w:val="20"/>
    <w:qFormat/>
    <w:rsid w:val="00F25DFB"/>
    <w:rPr>
      <w:i/>
      <w:iCs/>
    </w:rPr>
  </w:style>
  <w:style w:type="character" w:customStyle="1" w:styleId="apple-converted-space">
    <w:name w:val="apple-converted-space"/>
    <w:basedOn w:val="DefaultParagraphFont"/>
    <w:rsid w:val="00F2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07801">
      <w:bodyDiv w:val="1"/>
      <w:marLeft w:val="0"/>
      <w:marRight w:val="0"/>
      <w:marTop w:val="0"/>
      <w:marBottom w:val="0"/>
      <w:divBdr>
        <w:top w:val="none" w:sz="0" w:space="0" w:color="auto"/>
        <w:left w:val="none" w:sz="0" w:space="0" w:color="auto"/>
        <w:bottom w:val="none" w:sz="0" w:space="0" w:color="auto"/>
        <w:right w:val="none" w:sz="0" w:space="0" w:color="auto"/>
      </w:divBdr>
      <w:divsChild>
        <w:div w:id="1467744614">
          <w:marLeft w:val="0"/>
          <w:marRight w:val="0"/>
          <w:marTop w:val="0"/>
          <w:marBottom w:val="0"/>
          <w:divBdr>
            <w:top w:val="none" w:sz="0" w:space="0" w:color="auto"/>
            <w:left w:val="none" w:sz="0" w:space="0" w:color="auto"/>
            <w:bottom w:val="none" w:sz="0" w:space="0" w:color="auto"/>
            <w:right w:val="none" w:sz="0" w:space="0" w:color="auto"/>
          </w:divBdr>
          <w:divsChild>
            <w:div w:id="918949771">
              <w:marLeft w:val="0"/>
              <w:marRight w:val="0"/>
              <w:marTop w:val="0"/>
              <w:marBottom w:val="0"/>
              <w:divBdr>
                <w:top w:val="none" w:sz="0" w:space="0" w:color="auto"/>
                <w:left w:val="none" w:sz="0" w:space="0" w:color="auto"/>
                <w:bottom w:val="none" w:sz="0" w:space="0" w:color="auto"/>
                <w:right w:val="none" w:sz="0" w:space="0" w:color="auto"/>
              </w:divBdr>
              <w:divsChild>
                <w:div w:id="16026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41710">
      <w:bodyDiv w:val="1"/>
      <w:marLeft w:val="0"/>
      <w:marRight w:val="0"/>
      <w:marTop w:val="0"/>
      <w:marBottom w:val="0"/>
      <w:divBdr>
        <w:top w:val="none" w:sz="0" w:space="0" w:color="auto"/>
        <w:left w:val="none" w:sz="0" w:space="0" w:color="auto"/>
        <w:bottom w:val="none" w:sz="0" w:space="0" w:color="auto"/>
        <w:right w:val="none" w:sz="0" w:space="0" w:color="auto"/>
      </w:divBdr>
      <w:divsChild>
        <w:div w:id="189682009">
          <w:marLeft w:val="0"/>
          <w:marRight w:val="0"/>
          <w:marTop w:val="0"/>
          <w:marBottom w:val="0"/>
          <w:divBdr>
            <w:top w:val="none" w:sz="0" w:space="0" w:color="auto"/>
            <w:left w:val="none" w:sz="0" w:space="0" w:color="auto"/>
            <w:bottom w:val="none" w:sz="0" w:space="0" w:color="auto"/>
            <w:right w:val="none" w:sz="0" w:space="0" w:color="auto"/>
          </w:divBdr>
          <w:divsChild>
            <w:div w:id="930939809">
              <w:marLeft w:val="0"/>
              <w:marRight w:val="0"/>
              <w:marTop w:val="0"/>
              <w:marBottom w:val="0"/>
              <w:divBdr>
                <w:top w:val="none" w:sz="0" w:space="0" w:color="auto"/>
                <w:left w:val="none" w:sz="0" w:space="0" w:color="auto"/>
                <w:bottom w:val="none" w:sz="0" w:space="0" w:color="auto"/>
                <w:right w:val="none" w:sz="0" w:space="0" w:color="auto"/>
              </w:divBdr>
              <w:divsChild>
                <w:div w:id="1403404694">
                  <w:marLeft w:val="0"/>
                  <w:marRight w:val="0"/>
                  <w:marTop w:val="0"/>
                  <w:marBottom w:val="0"/>
                  <w:divBdr>
                    <w:top w:val="none" w:sz="0" w:space="0" w:color="auto"/>
                    <w:left w:val="none" w:sz="0" w:space="0" w:color="auto"/>
                    <w:bottom w:val="none" w:sz="0" w:space="0" w:color="auto"/>
                    <w:right w:val="none" w:sz="0" w:space="0" w:color="auto"/>
                  </w:divBdr>
                </w:div>
              </w:divsChild>
            </w:div>
            <w:div w:id="2083218156">
              <w:marLeft w:val="0"/>
              <w:marRight w:val="0"/>
              <w:marTop w:val="0"/>
              <w:marBottom w:val="0"/>
              <w:divBdr>
                <w:top w:val="none" w:sz="0" w:space="0" w:color="auto"/>
                <w:left w:val="none" w:sz="0" w:space="0" w:color="auto"/>
                <w:bottom w:val="none" w:sz="0" w:space="0" w:color="auto"/>
                <w:right w:val="none" w:sz="0" w:space="0" w:color="auto"/>
              </w:divBdr>
              <w:divsChild>
                <w:div w:id="818887994">
                  <w:marLeft w:val="0"/>
                  <w:marRight w:val="0"/>
                  <w:marTop w:val="0"/>
                  <w:marBottom w:val="0"/>
                  <w:divBdr>
                    <w:top w:val="none" w:sz="0" w:space="0" w:color="auto"/>
                    <w:left w:val="none" w:sz="0" w:space="0" w:color="auto"/>
                    <w:bottom w:val="none" w:sz="0" w:space="0" w:color="auto"/>
                    <w:right w:val="none" w:sz="0" w:space="0" w:color="auto"/>
                  </w:divBdr>
                </w:div>
              </w:divsChild>
            </w:div>
            <w:div w:id="593051940">
              <w:marLeft w:val="0"/>
              <w:marRight w:val="0"/>
              <w:marTop w:val="0"/>
              <w:marBottom w:val="0"/>
              <w:divBdr>
                <w:top w:val="none" w:sz="0" w:space="0" w:color="auto"/>
                <w:left w:val="none" w:sz="0" w:space="0" w:color="auto"/>
                <w:bottom w:val="none" w:sz="0" w:space="0" w:color="auto"/>
                <w:right w:val="none" w:sz="0" w:space="0" w:color="auto"/>
              </w:divBdr>
              <w:divsChild>
                <w:div w:id="284118577">
                  <w:marLeft w:val="0"/>
                  <w:marRight w:val="0"/>
                  <w:marTop w:val="0"/>
                  <w:marBottom w:val="0"/>
                  <w:divBdr>
                    <w:top w:val="none" w:sz="0" w:space="0" w:color="auto"/>
                    <w:left w:val="none" w:sz="0" w:space="0" w:color="auto"/>
                    <w:bottom w:val="none" w:sz="0" w:space="0" w:color="auto"/>
                    <w:right w:val="none" w:sz="0" w:space="0" w:color="auto"/>
                  </w:divBdr>
                </w:div>
                <w:div w:id="11646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6141">
          <w:marLeft w:val="0"/>
          <w:marRight w:val="0"/>
          <w:marTop w:val="0"/>
          <w:marBottom w:val="0"/>
          <w:divBdr>
            <w:top w:val="none" w:sz="0" w:space="0" w:color="auto"/>
            <w:left w:val="none" w:sz="0" w:space="0" w:color="auto"/>
            <w:bottom w:val="none" w:sz="0" w:space="0" w:color="auto"/>
            <w:right w:val="none" w:sz="0" w:space="0" w:color="auto"/>
          </w:divBdr>
          <w:divsChild>
            <w:div w:id="1104838504">
              <w:marLeft w:val="0"/>
              <w:marRight w:val="0"/>
              <w:marTop w:val="0"/>
              <w:marBottom w:val="0"/>
              <w:divBdr>
                <w:top w:val="none" w:sz="0" w:space="0" w:color="auto"/>
                <w:left w:val="none" w:sz="0" w:space="0" w:color="auto"/>
                <w:bottom w:val="none" w:sz="0" w:space="0" w:color="auto"/>
                <w:right w:val="none" w:sz="0" w:space="0" w:color="auto"/>
              </w:divBdr>
              <w:divsChild>
                <w:div w:id="1754815569">
                  <w:marLeft w:val="0"/>
                  <w:marRight w:val="0"/>
                  <w:marTop w:val="0"/>
                  <w:marBottom w:val="0"/>
                  <w:divBdr>
                    <w:top w:val="none" w:sz="0" w:space="0" w:color="auto"/>
                    <w:left w:val="none" w:sz="0" w:space="0" w:color="auto"/>
                    <w:bottom w:val="none" w:sz="0" w:space="0" w:color="auto"/>
                    <w:right w:val="none" w:sz="0" w:space="0" w:color="auto"/>
                  </w:divBdr>
                </w:div>
              </w:divsChild>
            </w:div>
            <w:div w:id="1335262407">
              <w:marLeft w:val="0"/>
              <w:marRight w:val="0"/>
              <w:marTop w:val="0"/>
              <w:marBottom w:val="0"/>
              <w:divBdr>
                <w:top w:val="none" w:sz="0" w:space="0" w:color="auto"/>
                <w:left w:val="none" w:sz="0" w:space="0" w:color="auto"/>
                <w:bottom w:val="none" w:sz="0" w:space="0" w:color="auto"/>
                <w:right w:val="none" w:sz="0" w:space="0" w:color="auto"/>
              </w:divBdr>
              <w:divsChild>
                <w:div w:id="18825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67947">
      <w:bodyDiv w:val="1"/>
      <w:marLeft w:val="0"/>
      <w:marRight w:val="0"/>
      <w:marTop w:val="0"/>
      <w:marBottom w:val="0"/>
      <w:divBdr>
        <w:top w:val="none" w:sz="0" w:space="0" w:color="auto"/>
        <w:left w:val="none" w:sz="0" w:space="0" w:color="auto"/>
        <w:bottom w:val="none" w:sz="0" w:space="0" w:color="auto"/>
        <w:right w:val="none" w:sz="0" w:space="0" w:color="auto"/>
      </w:divBdr>
      <w:divsChild>
        <w:div w:id="819688388">
          <w:marLeft w:val="0"/>
          <w:marRight w:val="0"/>
          <w:marTop w:val="0"/>
          <w:marBottom w:val="0"/>
          <w:divBdr>
            <w:top w:val="single" w:sz="2" w:space="6" w:color="333333"/>
            <w:left w:val="none" w:sz="0" w:space="0" w:color="auto"/>
            <w:bottom w:val="none" w:sz="0" w:space="0" w:color="auto"/>
            <w:right w:val="none" w:sz="0" w:space="0" w:color="auto"/>
          </w:divBdr>
        </w:div>
      </w:divsChild>
    </w:div>
    <w:div w:id="1497258054">
      <w:bodyDiv w:val="1"/>
      <w:marLeft w:val="0"/>
      <w:marRight w:val="0"/>
      <w:marTop w:val="0"/>
      <w:marBottom w:val="0"/>
      <w:divBdr>
        <w:top w:val="none" w:sz="0" w:space="0" w:color="auto"/>
        <w:left w:val="none" w:sz="0" w:space="0" w:color="auto"/>
        <w:bottom w:val="none" w:sz="0" w:space="0" w:color="auto"/>
        <w:right w:val="none" w:sz="0" w:space="0" w:color="auto"/>
      </w:divBdr>
      <w:divsChild>
        <w:div w:id="431358081">
          <w:marLeft w:val="0"/>
          <w:marRight w:val="0"/>
          <w:marTop w:val="0"/>
          <w:marBottom w:val="0"/>
          <w:divBdr>
            <w:top w:val="none" w:sz="0" w:space="0" w:color="auto"/>
            <w:left w:val="none" w:sz="0" w:space="0" w:color="auto"/>
            <w:bottom w:val="none" w:sz="0" w:space="0" w:color="auto"/>
            <w:right w:val="none" w:sz="0" w:space="0" w:color="auto"/>
          </w:divBdr>
          <w:divsChild>
            <w:div w:id="1944460624">
              <w:marLeft w:val="0"/>
              <w:marRight w:val="0"/>
              <w:marTop w:val="0"/>
              <w:marBottom w:val="0"/>
              <w:divBdr>
                <w:top w:val="none" w:sz="0" w:space="0" w:color="auto"/>
                <w:left w:val="none" w:sz="0" w:space="0" w:color="auto"/>
                <w:bottom w:val="none" w:sz="0" w:space="0" w:color="auto"/>
                <w:right w:val="none" w:sz="0" w:space="0" w:color="auto"/>
              </w:divBdr>
              <w:divsChild>
                <w:div w:id="18807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5662">
      <w:bodyDiv w:val="1"/>
      <w:marLeft w:val="0"/>
      <w:marRight w:val="0"/>
      <w:marTop w:val="0"/>
      <w:marBottom w:val="0"/>
      <w:divBdr>
        <w:top w:val="none" w:sz="0" w:space="0" w:color="auto"/>
        <w:left w:val="none" w:sz="0" w:space="0" w:color="auto"/>
        <w:bottom w:val="none" w:sz="0" w:space="0" w:color="auto"/>
        <w:right w:val="none" w:sz="0" w:space="0" w:color="auto"/>
      </w:divBdr>
      <w:divsChild>
        <w:div w:id="962344853">
          <w:marLeft w:val="0"/>
          <w:marRight w:val="0"/>
          <w:marTop w:val="0"/>
          <w:marBottom w:val="0"/>
          <w:divBdr>
            <w:top w:val="none" w:sz="0" w:space="0" w:color="auto"/>
            <w:left w:val="none" w:sz="0" w:space="0" w:color="auto"/>
            <w:bottom w:val="none" w:sz="0" w:space="0" w:color="auto"/>
            <w:right w:val="none" w:sz="0" w:space="0" w:color="auto"/>
          </w:divBdr>
          <w:divsChild>
            <w:div w:id="1629356404">
              <w:marLeft w:val="0"/>
              <w:marRight w:val="0"/>
              <w:marTop w:val="0"/>
              <w:marBottom w:val="0"/>
              <w:divBdr>
                <w:top w:val="none" w:sz="0" w:space="0" w:color="auto"/>
                <w:left w:val="none" w:sz="0" w:space="0" w:color="auto"/>
                <w:bottom w:val="none" w:sz="0" w:space="0" w:color="auto"/>
                <w:right w:val="none" w:sz="0" w:space="0" w:color="auto"/>
              </w:divBdr>
              <w:divsChild>
                <w:div w:id="14682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2020-07-14T05:32:00Z</dcterms:created>
  <dcterms:modified xsi:type="dcterms:W3CDTF">2020-07-14T14:08:00Z</dcterms:modified>
</cp:coreProperties>
</file>