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EDCI 337 Lesson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can use this template (based on the structure of this course) to make sure that you create all of the connective pieces that knit a lesson together. You don’t have to use this structure, but your lesson should include most of these components: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Overview</w:t>
      </w:r>
    </w:p>
    <w:p w:rsidR="00000000" w:rsidDel="00000000" w:rsidP="00000000" w:rsidRDefault="00000000" w:rsidRPr="00000000" w14:paraId="00000006">
      <w:pPr>
        <w:rPr>
          <w:i w:val="1"/>
        </w:rPr>
      </w:pPr>
      <w:r w:rsidDel="00000000" w:rsidR="00000000" w:rsidRPr="00000000">
        <w:rPr>
          <w:i w:val="1"/>
          <w:rtl w:val="0"/>
        </w:rPr>
        <w:t xml:space="preserve">A quick introduction to the topic of the week. Why is it important? How does it connect to the other topics in the course? Adding a video to this section can aid in creating a teaching presence in your course. </w:t>
      </w:r>
    </w:p>
    <w:p w:rsidR="00000000" w:rsidDel="00000000" w:rsidP="00000000" w:rsidRDefault="00000000" w:rsidRPr="00000000" w14:paraId="00000007">
      <w:pPr>
        <w:rPr>
          <w:i w:val="1"/>
        </w:rPr>
      </w:pPr>
      <w:r w:rsidDel="00000000" w:rsidR="00000000" w:rsidRPr="00000000">
        <w:rPr>
          <w:i w:val="1"/>
          <w:rtl w:val="0"/>
        </w:rPr>
        <w:t xml:space="preserve">(Keep in mind that this template is based on a real-life situation, where you’re building a lesson that is part of a course. For the purposes of this assignment, it’s not necessary to imagine the entire course and identify this lesson’s connection to the other topics in it. Although if you have some ideas about that, feel free to include them.)</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Lesson Objectives</w:t>
      </w:r>
    </w:p>
    <w:p w:rsidR="00000000" w:rsidDel="00000000" w:rsidP="00000000" w:rsidRDefault="00000000" w:rsidRPr="00000000" w14:paraId="0000000A">
      <w:pPr>
        <w:rPr>
          <w:i w:val="1"/>
        </w:rPr>
      </w:pPr>
      <w:r w:rsidDel="00000000" w:rsidR="00000000" w:rsidRPr="00000000">
        <w:rPr>
          <w:i w:val="1"/>
          <w:rtl w:val="0"/>
        </w:rPr>
        <w:t xml:space="preserve">What will learners be able to know/think/do by the end of the lesson?</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Read/Watch</w:t>
      </w:r>
    </w:p>
    <w:p w:rsidR="00000000" w:rsidDel="00000000" w:rsidP="00000000" w:rsidRDefault="00000000" w:rsidRPr="00000000" w14:paraId="0000000D">
      <w:pPr>
        <w:rPr>
          <w:i w:val="1"/>
        </w:rPr>
      </w:pPr>
      <w:r w:rsidDel="00000000" w:rsidR="00000000" w:rsidRPr="00000000">
        <w:rPr>
          <w:i w:val="1"/>
          <w:rtl w:val="0"/>
        </w:rPr>
        <w:t xml:space="preserve">This is the content that will give learners the background knowledge to participate in the learning activities of the week.</w:t>
      </w:r>
    </w:p>
    <w:p w:rsidR="00000000" w:rsidDel="00000000" w:rsidP="00000000" w:rsidRDefault="00000000" w:rsidRPr="00000000" w14:paraId="0000000E">
      <w:pPr>
        <w:rPr>
          <w:i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Content</w:t>
      </w:r>
    </w:p>
    <w:p w:rsidR="00000000" w:rsidDel="00000000" w:rsidP="00000000" w:rsidRDefault="00000000" w:rsidRPr="00000000" w14:paraId="00000010">
      <w:pPr>
        <w:rPr>
          <w:i w:val="1"/>
        </w:rPr>
      </w:pPr>
      <w:r w:rsidDel="00000000" w:rsidR="00000000" w:rsidRPr="00000000">
        <w:rPr>
          <w:i w:val="1"/>
          <w:rtl w:val="0"/>
        </w:rPr>
        <w:t xml:space="preserve">What additional content is required to prepare learners to meet the learning objectives of the lesson and connect the topic to the rest of the course?</w:t>
      </w:r>
    </w:p>
    <w:p w:rsidR="00000000" w:rsidDel="00000000" w:rsidP="00000000" w:rsidRDefault="00000000" w:rsidRPr="00000000" w14:paraId="00000011">
      <w:pPr>
        <w:rPr>
          <w:i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Application</w:t>
      </w:r>
    </w:p>
    <w:p w:rsidR="00000000" w:rsidDel="00000000" w:rsidP="00000000" w:rsidRDefault="00000000" w:rsidRPr="00000000" w14:paraId="00000013">
      <w:pPr>
        <w:rPr>
          <w:i w:val="1"/>
        </w:rPr>
      </w:pPr>
      <w:r w:rsidDel="00000000" w:rsidR="00000000" w:rsidRPr="00000000">
        <w:rPr>
          <w:i w:val="1"/>
          <w:rtl w:val="0"/>
        </w:rPr>
        <w:t xml:space="preserve">How will learners apply their new knowledge and skills? What problem will they solve? How will they demonstrate their learning?</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Reflection</w:t>
      </w:r>
    </w:p>
    <w:p w:rsidR="00000000" w:rsidDel="00000000" w:rsidP="00000000" w:rsidRDefault="00000000" w:rsidRPr="00000000" w14:paraId="00000016">
      <w:pPr>
        <w:rPr>
          <w:i w:val="1"/>
        </w:rPr>
      </w:pPr>
      <w:r w:rsidDel="00000000" w:rsidR="00000000" w:rsidRPr="00000000">
        <w:rPr>
          <w:i w:val="1"/>
          <w:rtl w:val="0"/>
        </w:rPr>
        <w:t xml:space="preserve">Research shows that learners who can reflect on their learning are more likely to integrate and connect what they’ve learned to prior knowledge. </w:t>
      </w:r>
    </w:p>
    <w:p w:rsidR="00000000" w:rsidDel="00000000" w:rsidP="00000000" w:rsidRDefault="00000000" w:rsidRPr="00000000" w14:paraId="00000017">
      <w:pPr>
        <w:rPr>
          <w:i w:val="1"/>
        </w:rPr>
      </w:pPr>
      <w:r w:rsidDel="00000000" w:rsidR="00000000" w:rsidRPr="00000000">
        <w:rPr>
          <w:i w:val="1"/>
          <w:rtl w:val="0"/>
        </w:rPr>
        <w:t xml:space="preserve"> </w:t>
      </w:r>
    </w:p>
    <w:p w:rsidR="00000000" w:rsidDel="00000000" w:rsidP="00000000" w:rsidRDefault="00000000" w:rsidRPr="00000000" w14:paraId="00000018">
      <w:pPr>
        <w:rPr>
          <w:b w:val="1"/>
        </w:rPr>
      </w:pPr>
      <w:r w:rsidDel="00000000" w:rsidR="00000000" w:rsidRPr="00000000">
        <w:rPr>
          <w:b w:val="1"/>
          <w:rtl w:val="0"/>
        </w:rPr>
        <w:t xml:space="preserve">To Do This Week</w:t>
      </w:r>
    </w:p>
    <w:p w:rsidR="00000000" w:rsidDel="00000000" w:rsidP="00000000" w:rsidRDefault="00000000" w:rsidRPr="00000000" w14:paraId="00000019">
      <w:pPr>
        <w:rPr>
          <w:i w:val="1"/>
        </w:rPr>
      </w:pPr>
      <w:r w:rsidDel="00000000" w:rsidR="00000000" w:rsidRPr="00000000">
        <w:rPr>
          <w:i w:val="1"/>
          <w:rtl w:val="0"/>
        </w:rPr>
        <w:t xml:space="preserve">A to do list helps scaffold learners, reducing the extraneous cognitive load involved in following a lesson. </w:t>
      </w:r>
    </w:p>
    <w:p w:rsidR="00000000" w:rsidDel="00000000" w:rsidP="00000000" w:rsidRDefault="00000000" w:rsidRPr="00000000" w14:paraId="0000001A">
      <w:pPr>
        <w:rPr>
          <w:i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References</w:t>
      </w:r>
    </w:p>
    <w:p w:rsidR="00000000" w:rsidDel="00000000" w:rsidP="00000000" w:rsidRDefault="00000000" w:rsidRPr="00000000" w14:paraId="0000001C">
      <w:pPr>
        <w:rPr>
          <w:i w:val="1"/>
        </w:rPr>
      </w:pPr>
      <w:r w:rsidDel="00000000" w:rsidR="00000000" w:rsidRPr="00000000">
        <w:rPr>
          <w:i w:val="1"/>
          <w:rtl w:val="0"/>
        </w:rPr>
        <w:t xml:space="preserve">This is where you credit your sources.</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